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6232B" w14:textId="11CAA604" w:rsidR="00E62109" w:rsidRDefault="00E62109" w:rsidP="00EF384D">
      <w:pPr>
        <w:tabs>
          <w:tab w:val="left" w:pos="924"/>
        </w:tabs>
        <w:jc w:val="center"/>
        <w:rPr>
          <w:rFonts w:ascii="Verdana" w:hAnsi="Verdana"/>
          <w:color w:val="2071AC"/>
          <w:sz w:val="32"/>
          <w:szCs w:val="32"/>
        </w:rPr>
      </w:pPr>
      <w:bookmarkStart w:id="0" w:name="_GoBack"/>
      <w:bookmarkEnd w:id="0"/>
      <w:r w:rsidRPr="00825BB7">
        <w:rPr>
          <w:rFonts w:ascii="Verdana" w:hAnsi="Verdana"/>
          <w:color w:val="2071AC"/>
          <w:sz w:val="32"/>
          <w:szCs w:val="32"/>
        </w:rPr>
        <w:t>Financial Conditions for the Provision of Air Transportation Services</w:t>
      </w:r>
    </w:p>
    <w:p w14:paraId="264FB2E8" w14:textId="77777777" w:rsidR="00825BB7" w:rsidRPr="00825BB7" w:rsidRDefault="00825BB7" w:rsidP="00825BB7">
      <w:pPr>
        <w:tabs>
          <w:tab w:val="left" w:pos="924"/>
        </w:tabs>
        <w:jc w:val="center"/>
        <w:rPr>
          <w:rFonts w:ascii="Verdana" w:hAnsi="Verdana"/>
          <w:color w:val="2071AC"/>
          <w:sz w:val="10"/>
          <w:szCs w:val="10"/>
        </w:rPr>
      </w:pPr>
    </w:p>
    <w:tbl>
      <w:tblPr>
        <w:tblStyle w:val="TableGrid"/>
        <w:tblW w:w="10170" w:type="dxa"/>
        <w:tblInd w:w="-455" w:type="dxa"/>
        <w:tblLook w:val="04A0" w:firstRow="1" w:lastRow="0" w:firstColumn="1" w:lastColumn="0" w:noHBand="0" w:noVBand="1"/>
      </w:tblPr>
      <w:tblGrid>
        <w:gridCol w:w="5130"/>
        <w:gridCol w:w="5040"/>
      </w:tblGrid>
      <w:tr w:rsidR="00E62109" w14:paraId="27A5A269" w14:textId="77777777" w:rsidTr="00EF384D">
        <w:trPr>
          <w:trHeight w:val="413"/>
        </w:trPr>
        <w:tc>
          <w:tcPr>
            <w:tcW w:w="10170" w:type="dxa"/>
            <w:gridSpan w:val="2"/>
            <w:shd w:val="clear" w:color="auto" w:fill="2071AC"/>
          </w:tcPr>
          <w:p w14:paraId="53ACCF9D" w14:textId="2A712D6D" w:rsidR="00E62109" w:rsidRPr="00825BB7" w:rsidRDefault="00EF384D" w:rsidP="00EF384D">
            <w:pPr>
              <w:tabs>
                <w:tab w:val="left" w:pos="924"/>
                <w:tab w:val="left" w:pos="1150"/>
                <w:tab w:val="center" w:pos="4977"/>
              </w:tabs>
              <w:rPr>
                <w:rFonts w:ascii="Verdana" w:hAnsi="Verdana"/>
                <w:b/>
                <w:bCs/>
                <w:color w:val="FFFFFF" w:themeColor="background1"/>
                <w:sz w:val="15"/>
                <w:szCs w:val="15"/>
              </w:rPr>
            </w:pPr>
            <w:r>
              <w:rPr>
                <w:rFonts w:ascii="Verdana" w:hAnsi="Verdana"/>
                <w:b/>
                <w:bCs/>
                <w:color w:val="FFFFFF" w:themeColor="background1"/>
                <w:sz w:val="15"/>
                <w:szCs w:val="15"/>
              </w:rPr>
              <w:tab/>
            </w:r>
            <w:r>
              <w:rPr>
                <w:rFonts w:ascii="Verdana" w:hAnsi="Verdana"/>
                <w:b/>
                <w:bCs/>
                <w:color w:val="FFFFFF" w:themeColor="background1"/>
                <w:sz w:val="15"/>
                <w:szCs w:val="15"/>
              </w:rPr>
              <w:tab/>
            </w:r>
            <w:r>
              <w:rPr>
                <w:rFonts w:ascii="Verdana" w:hAnsi="Verdana"/>
                <w:b/>
                <w:bCs/>
                <w:color w:val="FFFFFF" w:themeColor="background1"/>
                <w:sz w:val="15"/>
                <w:szCs w:val="15"/>
              </w:rPr>
              <w:tab/>
            </w:r>
            <w:r w:rsidR="00E62109" w:rsidRPr="00825BB7">
              <w:rPr>
                <w:rFonts w:ascii="Verdana" w:hAnsi="Verdana"/>
                <w:b/>
                <w:bCs/>
                <w:color w:val="FFFFFF" w:themeColor="background1"/>
                <w:sz w:val="15"/>
                <w:szCs w:val="15"/>
              </w:rPr>
              <w:t>Between the United Nations World Food Programme</w:t>
            </w:r>
            <w:r w:rsidR="004824A1">
              <w:rPr>
                <w:rFonts w:ascii="Verdana" w:hAnsi="Verdana"/>
                <w:b/>
                <w:bCs/>
                <w:color w:val="FFFFFF" w:themeColor="background1"/>
                <w:sz w:val="15"/>
                <w:szCs w:val="15"/>
              </w:rPr>
              <w:t xml:space="preserve"> and</w:t>
            </w:r>
            <w:r w:rsidR="00E62109" w:rsidRPr="00825BB7">
              <w:rPr>
                <w:rFonts w:ascii="Verdana" w:hAnsi="Verdana"/>
                <w:b/>
                <w:bCs/>
                <w:color w:val="FFFFFF" w:themeColor="background1"/>
                <w:sz w:val="15"/>
                <w:szCs w:val="15"/>
              </w:rPr>
              <w:t xml:space="preserve"> </w:t>
            </w:r>
            <w:r w:rsidR="00E62109" w:rsidRPr="00825BB7">
              <w:rPr>
                <w:rFonts w:ascii="Verdana" w:hAnsi="Verdana"/>
                <w:b/>
                <w:bCs/>
                <w:color w:val="FFFFFF" w:themeColor="background1"/>
                <w:sz w:val="15"/>
                <w:szCs w:val="15"/>
              </w:rPr>
              <w:fldChar w:fldCharType="begin">
                <w:ffData>
                  <w:name w:val="Text8"/>
                  <w:enabled/>
                  <w:calcOnExit w:val="0"/>
                  <w:textInput/>
                </w:ffData>
              </w:fldChar>
            </w:r>
            <w:r w:rsidR="00E62109" w:rsidRPr="00825BB7">
              <w:rPr>
                <w:rFonts w:ascii="Verdana" w:hAnsi="Verdana"/>
                <w:b/>
                <w:bCs/>
                <w:color w:val="FFFFFF" w:themeColor="background1"/>
                <w:sz w:val="15"/>
                <w:szCs w:val="15"/>
              </w:rPr>
              <w:instrText xml:space="preserve"> FORMTEXT </w:instrText>
            </w:r>
            <w:r w:rsidR="00E62109" w:rsidRPr="00825BB7">
              <w:rPr>
                <w:rFonts w:ascii="Verdana" w:hAnsi="Verdana"/>
                <w:b/>
                <w:bCs/>
                <w:color w:val="FFFFFF" w:themeColor="background1"/>
                <w:sz w:val="15"/>
                <w:szCs w:val="15"/>
              </w:rPr>
            </w:r>
            <w:r w:rsidR="00E62109" w:rsidRPr="00825BB7">
              <w:rPr>
                <w:rFonts w:ascii="Verdana" w:hAnsi="Verdana"/>
                <w:b/>
                <w:bCs/>
                <w:color w:val="FFFFFF" w:themeColor="background1"/>
                <w:sz w:val="15"/>
                <w:szCs w:val="15"/>
              </w:rPr>
              <w:fldChar w:fldCharType="separate"/>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E62109" w:rsidRPr="00825BB7">
              <w:rPr>
                <w:rFonts w:ascii="Verdana" w:hAnsi="Verdana"/>
                <w:b/>
                <w:bCs/>
                <w:color w:val="FFFFFF" w:themeColor="background1"/>
                <w:sz w:val="15"/>
                <w:szCs w:val="15"/>
              </w:rPr>
              <w:fldChar w:fldCharType="end"/>
            </w:r>
            <w:r w:rsidR="00E62109" w:rsidRPr="00825BB7">
              <w:rPr>
                <w:rFonts w:ascii="Verdana" w:hAnsi="Verdana"/>
                <w:b/>
                <w:bCs/>
                <w:color w:val="FFFFFF" w:themeColor="background1"/>
                <w:sz w:val="15"/>
                <w:szCs w:val="15"/>
                <w:vertAlign w:val="superscript"/>
              </w:rPr>
              <w:t>1</w:t>
            </w:r>
            <w:r w:rsidR="00E62109" w:rsidRPr="00825BB7">
              <w:rPr>
                <w:rFonts w:ascii="Verdana" w:hAnsi="Verdana"/>
                <w:b/>
                <w:bCs/>
                <w:color w:val="FFFFFF" w:themeColor="background1"/>
                <w:sz w:val="15"/>
                <w:szCs w:val="15"/>
              </w:rPr>
              <w:t xml:space="preserve"> in </w:t>
            </w:r>
            <w:r w:rsidR="00E62109" w:rsidRPr="00825BB7">
              <w:rPr>
                <w:rFonts w:ascii="Verdana" w:hAnsi="Verdana"/>
                <w:b/>
                <w:bCs/>
                <w:color w:val="FFFFFF" w:themeColor="background1"/>
                <w:sz w:val="15"/>
                <w:szCs w:val="15"/>
              </w:rPr>
              <w:fldChar w:fldCharType="begin">
                <w:ffData>
                  <w:name w:val="Text8"/>
                  <w:enabled/>
                  <w:calcOnExit w:val="0"/>
                  <w:textInput/>
                </w:ffData>
              </w:fldChar>
            </w:r>
            <w:bookmarkStart w:id="1" w:name="Text8"/>
            <w:r w:rsidR="00E62109" w:rsidRPr="00825BB7">
              <w:rPr>
                <w:rFonts w:ascii="Verdana" w:hAnsi="Verdana"/>
                <w:b/>
                <w:bCs/>
                <w:color w:val="FFFFFF" w:themeColor="background1"/>
                <w:sz w:val="15"/>
                <w:szCs w:val="15"/>
              </w:rPr>
              <w:instrText xml:space="preserve"> FORMTEXT </w:instrText>
            </w:r>
            <w:r w:rsidR="00E62109" w:rsidRPr="00825BB7">
              <w:rPr>
                <w:rFonts w:ascii="Verdana" w:hAnsi="Verdana"/>
                <w:b/>
                <w:bCs/>
                <w:color w:val="FFFFFF" w:themeColor="background1"/>
                <w:sz w:val="15"/>
                <w:szCs w:val="15"/>
              </w:rPr>
            </w:r>
            <w:r w:rsidR="00E62109" w:rsidRPr="00825BB7">
              <w:rPr>
                <w:rFonts w:ascii="Verdana" w:hAnsi="Verdana"/>
                <w:b/>
                <w:bCs/>
                <w:color w:val="FFFFFF" w:themeColor="background1"/>
                <w:sz w:val="15"/>
                <w:szCs w:val="15"/>
              </w:rPr>
              <w:fldChar w:fldCharType="separate"/>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B35A9F">
              <w:rPr>
                <w:rFonts w:ascii="Verdana" w:hAnsi="Verdana"/>
                <w:b/>
                <w:bCs/>
                <w:noProof/>
                <w:color w:val="FFFFFF" w:themeColor="background1"/>
                <w:sz w:val="15"/>
                <w:szCs w:val="15"/>
              </w:rPr>
              <w:t> </w:t>
            </w:r>
            <w:r w:rsidR="00E62109" w:rsidRPr="00825BB7">
              <w:rPr>
                <w:rFonts w:ascii="Verdana" w:hAnsi="Verdana"/>
                <w:b/>
                <w:bCs/>
                <w:color w:val="FFFFFF" w:themeColor="background1"/>
                <w:sz w:val="15"/>
                <w:szCs w:val="15"/>
              </w:rPr>
              <w:fldChar w:fldCharType="end"/>
            </w:r>
            <w:bookmarkEnd w:id="1"/>
            <w:r w:rsidR="00E62109" w:rsidRPr="00825BB7">
              <w:rPr>
                <w:rFonts w:ascii="Verdana" w:hAnsi="Verdana"/>
                <w:b/>
                <w:bCs/>
                <w:color w:val="FFFFFF" w:themeColor="background1"/>
                <w:sz w:val="15"/>
                <w:szCs w:val="15"/>
                <w:vertAlign w:val="superscript"/>
              </w:rPr>
              <w:t>2</w:t>
            </w:r>
          </w:p>
        </w:tc>
      </w:tr>
      <w:tr w:rsidR="00E62109" w14:paraId="7A7E4689" w14:textId="77777777" w:rsidTr="00EF384D">
        <w:tc>
          <w:tcPr>
            <w:tcW w:w="10170" w:type="dxa"/>
            <w:gridSpan w:val="2"/>
          </w:tcPr>
          <w:p w14:paraId="185470F6" w14:textId="492CCF4F" w:rsidR="00E62109" w:rsidRPr="00825BB7" w:rsidRDefault="00E62109" w:rsidP="00E62109">
            <w:pPr>
              <w:tabs>
                <w:tab w:val="left" w:pos="924"/>
              </w:tabs>
              <w:jc w:val="center"/>
              <w:rPr>
                <w:rFonts w:ascii="Verdana" w:hAnsi="Verdana"/>
                <w:color w:val="000000"/>
                <w:sz w:val="15"/>
                <w:szCs w:val="15"/>
              </w:rPr>
            </w:pPr>
            <w:r w:rsidRPr="00825BB7">
              <w:rPr>
                <w:rFonts w:ascii="Verdana" w:hAnsi="Verdana"/>
                <w:color w:val="000000"/>
                <w:sz w:val="15"/>
                <w:szCs w:val="15"/>
              </w:rPr>
              <w:t>This document establishes the Financial Conditions for the provision of Air Transport Services by WFP/UNHAS (“Financial Conditions”), as referred to in the Standard Terms and Conditions of Service for the provision of United Nations Humanitarian Air Services (“Standard Terms and Conditions”) and the Standard Administrative and Operating Procedures (“SAOPs”).</w:t>
            </w:r>
          </w:p>
        </w:tc>
      </w:tr>
      <w:tr w:rsidR="00E62109" w14:paraId="0EE45E50" w14:textId="77777777" w:rsidTr="00EF384D">
        <w:tc>
          <w:tcPr>
            <w:tcW w:w="10170" w:type="dxa"/>
            <w:gridSpan w:val="2"/>
          </w:tcPr>
          <w:p w14:paraId="5964E650" w14:textId="77A53805" w:rsidR="00E62109" w:rsidRPr="00825BB7" w:rsidRDefault="00E62109" w:rsidP="00E62109">
            <w:pPr>
              <w:tabs>
                <w:tab w:val="left" w:pos="924"/>
              </w:tabs>
              <w:jc w:val="center"/>
              <w:rPr>
                <w:rFonts w:ascii="Verdana" w:hAnsi="Verdana"/>
                <w:b/>
                <w:bCs/>
                <w:color w:val="000000"/>
                <w:sz w:val="15"/>
                <w:szCs w:val="15"/>
              </w:rPr>
            </w:pPr>
            <w:r w:rsidRPr="00825BB7">
              <w:rPr>
                <w:rFonts w:ascii="Verdana" w:hAnsi="Verdana"/>
                <w:b/>
                <w:bCs/>
                <w:color w:val="000000"/>
                <w:sz w:val="15"/>
                <w:szCs w:val="15"/>
              </w:rPr>
              <w:t>1. TERMS OF PAYMENT</w:t>
            </w:r>
          </w:p>
        </w:tc>
      </w:tr>
      <w:tr w:rsidR="00E62109" w14:paraId="08CAEADF" w14:textId="77777777" w:rsidTr="00EF384D">
        <w:tc>
          <w:tcPr>
            <w:tcW w:w="10170" w:type="dxa"/>
            <w:gridSpan w:val="2"/>
          </w:tcPr>
          <w:p w14:paraId="63538909" w14:textId="682E5A3A" w:rsidR="00E62109" w:rsidRPr="00825BB7" w:rsidRDefault="00E62109" w:rsidP="00E62109">
            <w:pPr>
              <w:tabs>
                <w:tab w:val="left" w:pos="2137"/>
              </w:tabs>
              <w:rPr>
                <w:rFonts w:ascii="Verdana" w:hAnsi="Verdana"/>
                <w:color w:val="000000"/>
                <w:sz w:val="15"/>
                <w:szCs w:val="15"/>
              </w:rPr>
            </w:pPr>
            <w:r w:rsidRPr="00825BB7">
              <w:rPr>
                <w:rFonts w:ascii="Verdana" w:hAnsi="Verdana"/>
                <w:b/>
                <w:bCs/>
                <w:color w:val="000000"/>
                <w:sz w:val="15"/>
                <w:szCs w:val="15"/>
              </w:rPr>
              <w:t>1.1</w:t>
            </w:r>
            <w:r w:rsidRPr="00825BB7">
              <w:rPr>
                <w:rFonts w:ascii="Verdana" w:hAnsi="Verdana"/>
                <w:color w:val="000000"/>
                <w:sz w:val="15"/>
                <w:szCs w:val="15"/>
              </w:rPr>
              <w:t xml:space="preserve"> The User Organization shall pay in advance for all flights and services rendered by WFP/UNHAS unless otherwise agreed. The prepayment may be received as:</w:t>
            </w:r>
          </w:p>
          <w:p w14:paraId="7DA802E0" w14:textId="77777777" w:rsidR="00E62109" w:rsidRPr="00825BB7" w:rsidRDefault="00E62109" w:rsidP="00E62109">
            <w:pPr>
              <w:pStyle w:val="ListParagraph"/>
              <w:numPr>
                <w:ilvl w:val="0"/>
                <w:numId w:val="2"/>
              </w:numPr>
              <w:tabs>
                <w:tab w:val="left" w:pos="2137"/>
              </w:tabs>
              <w:rPr>
                <w:rFonts w:ascii="Verdana" w:hAnsi="Verdana"/>
                <w:color w:val="000000"/>
                <w:sz w:val="15"/>
                <w:szCs w:val="15"/>
              </w:rPr>
            </w:pPr>
            <w:r w:rsidRPr="00825BB7">
              <w:rPr>
                <w:rFonts w:ascii="Verdana" w:hAnsi="Verdana"/>
                <w:color w:val="000000"/>
                <w:sz w:val="15"/>
                <w:szCs w:val="15"/>
              </w:rPr>
              <w:t>Advance payment for individual passenger or cargo movements</w:t>
            </w:r>
          </w:p>
          <w:p w14:paraId="6BB6AB78" w14:textId="77777777" w:rsidR="00E62109" w:rsidRPr="00825BB7" w:rsidRDefault="00E62109" w:rsidP="00E62109">
            <w:pPr>
              <w:pStyle w:val="ListParagraph"/>
              <w:numPr>
                <w:ilvl w:val="0"/>
                <w:numId w:val="2"/>
              </w:numPr>
              <w:tabs>
                <w:tab w:val="left" w:pos="2137"/>
              </w:tabs>
              <w:rPr>
                <w:rFonts w:ascii="Verdana" w:hAnsi="Verdana"/>
                <w:color w:val="000000"/>
                <w:sz w:val="15"/>
                <w:szCs w:val="15"/>
              </w:rPr>
            </w:pPr>
            <w:r w:rsidRPr="00825BB7">
              <w:rPr>
                <w:rFonts w:ascii="Verdana" w:hAnsi="Verdana"/>
                <w:color w:val="000000"/>
                <w:sz w:val="15"/>
                <w:szCs w:val="15"/>
              </w:rPr>
              <w:t>Lump-sum payment for a month(s) planned movements for both passenger and cargo</w:t>
            </w:r>
          </w:p>
          <w:p w14:paraId="4DBCA757" w14:textId="48A7E2DA" w:rsidR="00E62109" w:rsidRPr="00825BB7" w:rsidRDefault="00E62109" w:rsidP="00E62109">
            <w:pPr>
              <w:pStyle w:val="ListParagraph"/>
              <w:numPr>
                <w:ilvl w:val="0"/>
                <w:numId w:val="2"/>
              </w:numPr>
              <w:tabs>
                <w:tab w:val="left" w:pos="2137"/>
              </w:tabs>
              <w:rPr>
                <w:rFonts w:ascii="Verdana" w:hAnsi="Verdana"/>
                <w:color w:val="000000"/>
                <w:sz w:val="15"/>
                <w:szCs w:val="15"/>
              </w:rPr>
            </w:pPr>
            <w:r w:rsidRPr="00825BB7">
              <w:rPr>
                <w:rFonts w:ascii="Verdana" w:hAnsi="Verdana"/>
                <w:color w:val="000000"/>
                <w:sz w:val="15"/>
                <w:szCs w:val="15"/>
              </w:rPr>
              <w:t>Prepayment for Special Flight (s)</w:t>
            </w:r>
          </w:p>
          <w:p w14:paraId="6A02CEF8" w14:textId="0A1E81B9" w:rsidR="00E62109" w:rsidRPr="00825BB7" w:rsidRDefault="00E62109" w:rsidP="00E62109">
            <w:pPr>
              <w:tabs>
                <w:tab w:val="left" w:pos="2137"/>
              </w:tabs>
              <w:rPr>
                <w:rFonts w:ascii="Verdana" w:hAnsi="Verdana"/>
                <w:color w:val="000000"/>
                <w:sz w:val="15"/>
                <w:szCs w:val="15"/>
              </w:rPr>
            </w:pPr>
            <w:r w:rsidRPr="00825BB7">
              <w:rPr>
                <w:rFonts w:ascii="Verdana" w:hAnsi="Verdana"/>
                <w:b/>
                <w:bCs/>
                <w:color w:val="000000"/>
                <w:sz w:val="15"/>
                <w:szCs w:val="15"/>
              </w:rPr>
              <w:t>1.2</w:t>
            </w:r>
            <w:r w:rsidRPr="00825BB7">
              <w:rPr>
                <w:rFonts w:ascii="Verdana" w:hAnsi="Verdana"/>
                <w:color w:val="000000"/>
                <w:sz w:val="15"/>
                <w:szCs w:val="15"/>
              </w:rPr>
              <w:t xml:space="preserve"> In each case, the prepayment will be an estimate of expected movements; final costs will be based on actual flights and services rendered and the statements will be shared with the User Organization.</w:t>
            </w:r>
          </w:p>
        </w:tc>
      </w:tr>
      <w:tr w:rsidR="00E62109" w14:paraId="1E7997D2" w14:textId="77777777" w:rsidTr="00EF384D">
        <w:tc>
          <w:tcPr>
            <w:tcW w:w="10170" w:type="dxa"/>
            <w:gridSpan w:val="2"/>
          </w:tcPr>
          <w:p w14:paraId="6BA11A44" w14:textId="06BB010F" w:rsidR="00E62109" w:rsidRPr="00825BB7" w:rsidRDefault="00E62109" w:rsidP="00E62109">
            <w:pPr>
              <w:tabs>
                <w:tab w:val="left" w:pos="924"/>
              </w:tabs>
              <w:jc w:val="center"/>
              <w:rPr>
                <w:rFonts w:ascii="Verdana" w:hAnsi="Verdana"/>
                <w:b/>
                <w:bCs/>
                <w:color w:val="000000"/>
                <w:sz w:val="15"/>
                <w:szCs w:val="15"/>
              </w:rPr>
            </w:pPr>
            <w:r w:rsidRPr="00825BB7">
              <w:rPr>
                <w:rFonts w:ascii="Verdana" w:hAnsi="Verdana"/>
                <w:b/>
                <w:bCs/>
                <w:color w:val="000000"/>
                <w:sz w:val="15"/>
                <w:szCs w:val="15"/>
              </w:rPr>
              <w:t>2. ADDITIONAL CHARGES</w:t>
            </w:r>
          </w:p>
        </w:tc>
      </w:tr>
      <w:tr w:rsidR="00E62109" w14:paraId="63006515" w14:textId="77777777" w:rsidTr="00EF384D">
        <w:tc>
          <w:tcPr>
            <w:tcW w:w="10170" w:type="dxa"/>
            <w:gridSpan w:val="2"/>
          </w:tcPr>
          <w:p w14:paraId="67C6894B" w14:textId="14894515" w:rsidR="00E62109" w:rsidRPr="00825BB7" w:rsidRDefault="00E62109" w:rsidP="00E62109">
            <w:pPr>
              <w:tabs>
                <w:tab w:val="left" w:pos="1295"/>
              </w:tabs>
              <w:rPr>
                <w:rFonts w:ascii="Verdana" w:hAnsi="Verdana"/>
                <w:color w:val="000000"/>
                <w:sz w:val="15"/>
                <w:szCs w:val="15"/>
              </w:rPr>
            </w:pPr>
            <w:r w:rsidRPr="00825BB7">
              <w:rPr>
                <w:rFonts w:ascii="Verdana" w:hAnsi="Verdana"/>
                <w:b/>
                <w:bCs/>
                <w:color w:val="000000"/>
                <w:sz w:val="15"/>
                <w:szCs w:val="15"/>
              </w:rPr>
              <w:t>2.1</w:t>
            </w:r>
            <w:r w:rsidRPr="00825BB7">
              <w:rPr>
                <w:rFonts w:ascii="Verdana" w:hAnsi="Verdana"/>
                <w:color w:val="000000"/>
                <w:sz w:val="15"/>
                <w:szCs w:val="15"/>
              </w:rPr>
              <w:t xml:space="preserve"> </w:t>
            </w:r>
            <w:r w:rsidRPr="00825BB7">
              <w:rPr>
                <w:rFonts w:ascii="Verdana" w:hAnsi="Verdana"/>
                <w:b/>
                <w:bCs/>
                <w:color w:val="000000"/>
                <w:sz w:val="15"/>
                <w:szCs w:val="15"/>
              </w:rPr>
              <w:t>Excess baggage charges</w:t>
            </w:r>
            <w:r w:rsidRPr="00825BB7">
              <w:rPr>
                <w:rFonts w:ascii="Verdana" w:hAnsi="Verdana"/>
                <w:color w:val="000000"/>
                <w:sz w:val="15"/>
                <w:szCs w:val="15"/>
              </w:rPr>
              <w:t xml:space="preserve"> Excess baggage shall be charged as stated in WFP/UNHAS SAOPs.</w:t>
            </w:r>
          </w:p>
          <w:p w14:paraId="468DE992" w14:textId="4DEF31BD" w:rsidR="00E62109" w:rsidRPr="00825BB7" w:rsidRDefault="00E62109" w:rsidP="00E62109">
            <w:pPr>
              <w:tabs>
                <w:tab w:val="left" w:pos="1295"/>
              </w:tabs>
              <w:rPr>
                <w:rFonts w:ascii="Verdana" w:hAnsi="Verdana"/>
                <w:color w:val="000000"/>
                <w:sz w:val="15"/>
                <w:szCs w:val="15"/>
              </w:rPr>
            </w:pPr>
            <w:r w:rsidRPr="00825BB7">
              <w:rPr>
                <w:rFonts w:ascii="Verdana" w:hAnsi="Verdana"/>
                <w:b/>
                <w:bCs/>
                <w:color w:val="000000"/>
                <w:sz w:val="15"/>
                <w:szCs w:val="15"/>
              </w:rPr>
              <w:t>2.2 Sharing of Special Flights charges</w:t>
            </w:r>
            <w:r w:rsidRPr="00825BB7">
              <w:rPr>
                <w:rFonts w:ascii="Verdana" w:hAnsi="Verdana"/>
                <w:color w:val="000000"/>
                <w:sz w:val="15"/>
                <w:szCs w:val="15"/>
              </w:rPr>
              <w:t xml:space="preserve"> When special flights are arranged for several User Organizations, movements shall be charged proportionally to each User Organization. The relevant charges shall be shared between User Organizations based on number of occupied seats or respective cargo’s volume and weight by each User Organization or as agreed between User Organizations.</w:t>
            </w:r>
          </w:p>
          <w:p w14:paraId="4D467263" w14:textId="6F32572A" w:rsidR="00E62109" w:rsidRPr="00825BB7" w:rsidRDefault="00E62109" w:rsidP="00E62109">
            <w:pPr>
              <w:tabs>
                <w:tab w:val="left" w:pos="1295"/>
              </w:tabs>
              <w:rPr>
                <w:rFonts w:ascii="Verdana" w:hAnsi="Verdana"/>
                <w:color w:val="000000"/>
                <w:sz w:val="15"/>
                <w:szCs w:val="15"/>
              </w:rPr>
            </w:pPr>
            <w:r w:rsidRPr="00825BB7">
              <w:rPr>
                <w:rFonts w:ascii="Verdana" w:hAnsi="Verdana"/>
                <w:b/>
                <w:bCs/>
                <w:color w:val="000000"/>
                <w:sz w:val="15"/>
                <w:szCs w:val="15"/>
              </w:rPr>
              <w:t>2.3</w:t>
            </w:r>
            <w:r w:rsidRPr="00825BB7">
              <w:rPr>
                <w:rFonts w:ascii="Verdana" w:hAnsi="Verdana"/>
                <w:color w:val="000000"/>
                <w:sz w:val="15"/>
                <w:szCs w:val="15"/>
              </w:rPr>
              <w:t xml:space="preserve"> </w:t>
            </w:r>
            <w:r w:rsidRPr="00825BB7">
              <w:rPr>
                <w:rFonts w:ascii="Verdana" w:hAnsi="Verdana"/>
                <w:b/>
                <w:bCs/>
                <w:color w:val="000000"/>
                <w:sz w:val="15"/>
                <w:szCs w:val="15"/>
              </w:rPr>
              <w:t xml:space="preserve">Medical Evacuations </w:t>
            </w:r>
            <w:proofErr w:type="gramStart"/>
            <w:r w:rsidRPr="00825BB7">
              <w:rPr>
                <w:rFonts w:ascii="Verdana" w:hAnsi="Verdana"/>
                <w:color w:val="000000"/>
                <w:sz w:val="15"/>
                <w:szCs w:val="15"/>
              </w:rPr>
              <w:t>The</w:t>
            </w:r>
            <w:proofErr w:type="gramEnd"/>
            <w:r w:rsidRPr="00825BB7">
              <w:rPr>
                <w:rFonts w:ascii="Verdana" w:hAnsi="Verdana"/>
                <w:color w:val="000000"/>
                <w:sz w:val="15"/>
                <w:szCs w:val="15"/>
              </w:rPr>
              <w:t xml:space="preserve"> User Organization shall follow the procedures established in the SAOPs should medical evacuation be required. If a request cannot be accommodated on a scheduled WFP/UNHAS flight, WFP/UNHAS shall task a Special Flight for medical evacuation using the most appropriate air asset available at the time of request or procuring/deploying an additional air capacity, as appropriate. The User Organization shall bear all costs of such flight(s).</w:t>
            </w:r>
          </w:p>
          <w:p w14:paraId="39C2032B" w14:textId="306B89F6" w:rsidR="00E62109" w:rsidRPr="00825BB7" w:rsidRDefault="00E62109" w:rsidP="00E62109">
            <w:pPr>
              <w:tabs>
                <w:tab w:val="left" w:pos="1295"/>
              </w:tabs>
              <w:rPr>
                <w:rFonts w:ascii="Verdana" w:hAnsi="Verdana"/>
                <w:color w:val="000000"/>
                <w:sz w:val="15"/>
                <w:szCs w:val="15"/>
              </w:rPr>
            </w:pPr>
            <w:r w:rsidRPr="00825BB7">
              <w:rPr>
                <w:rFonts w:ascii="Verdana" w:hAnsi="Verdana"/>
                <w:b/>
                <w:bCs/>
                <w:color w:val="000000"/>
                <w:sz w:val="15"/>
                <w:szCs w:val="15"/>
              </w:rPr>
              <w:t>2.4</w:t>
            </w:r>
            <w:r w:rsidRPr="00825BB7">
              <w:rPr>
                <w:rFonts w:ascii="Verdana" w:hAnsi="Verdana"/>
                <w:color w:val="000000"/>
                <w:sz w:val="15"/>
                <w:szCs w:val="15"/>
              </w:rPr>
              <w:t xml:space="preserve"> </w:t>
            </w:r>
            <w:r w:rsidRPr="00825BB7">
              <w:rPr>
                <w:rFonts w:ascii="Verdana" w:hAnsi="Verdana"/>
                <w:b/>
                <w:bCs/>
                <w:color w:val="000000"/>
                <w:sz w:val="15"/>
                <w:szCs w:val="15"/>
              </w:rPr>
              <w:t xml:space="preserve">Handling services </w:t>
            </w:r>
            <w:r w:rsidRPr="00825BB7">
              <w:rPr>
                <w:rFonts w:ascii="Verdana" w:hAnsi="Verdana"/>
                <w:color w:val="000000"/>
                <w:sz w:val="15"/>
                <w:szCs w:val="15"/>
              </w:rPr>
              <w:t>On scheduled flights, no additional fee shall be charged for apron services, handling and loading facilities, equipment and staff to receive, handle and load/offload onto the aircraft</w:t>
            </w:r>
          </w:p>
        </w:tc>
      </w:tr>
      <w:tr w:rsidR="00E62109" w14:paraId="317D73B2" w14:textId="77777777" w:rsidTr="00EF384D">
        <w:tc>
          <w:tcPr>
            <w:tcW w:w="10170" w:type="dxa"/>
            <w:gridSpan w:val="2"/>
          </w:tcPr>
          <w:p w14:paraId="2132B604" w14:textId="074B48E4" w:rsidR="00E62109" w:rsidRPr="00825BB7" w:rsidRDefault="00E62109" w:rsidP="00E62109">
            <w:pPr>
              <w:tabs>
                <w:tab w:val="left" w:pos="924"/>
              </w:tabs>
              <w:jc w:val="center"/>
              <w:rPr>
                <w:rFonts w:ascii="Verdana" w:hAnsi="Verdana"/>
                <w:color w:val="000000"/>
                <w:sz w:val="15"/>
                <w:szCs w:val="15"/>
              </w:rPr>
            </w:pPr>
            <w:r w:rsidRPr="00825BB7">
              <w:rPr>
                <w:rFonts w:ascii="Verdana" w:hAnsi="Verdana"/>
                <w:b/>
                <w:bCs/>
                <w:color w:val="000000"/>
                <w:sz w:val="15"/>
                <w:szCs w:val="15"/>
              </w:rPr>
              <w:t>3. PREPAYMENT/DEPOSITS</w:t>
            </w:r>
          </w:p>
        </w:tc>
      </w:tr>
      <w:tr w:rsidR="00E62109" w14:paraId="1CFF9CF3" w14:textId="77777777" w:rsidTr="00EF384D">
        <w:tc>
          <w:tcPr>
            <w:tcW w:w="10170" w:type="dxa"/>
            <w:gridSpan w:val="2"/>
          </w:tcPr>
          <w:p w14:paraId="34CC4F01" w14:textId="46ED1E55" w:rsidR="00E62109" w:rsidRPr="00825BB7" w:rsidRDefault="00E62109" w:rsidP="00E62109">
            <w:pPr>
              <w:tabs>
                <w:tab w:val="left" w:pos="924"/>
              </w:tabs>
              <w:rPr>
                <w:rFonts w:ascii="Verdana" w:hAnsi="Verdana"/>
                <w:color w:val="000000"/>
                <w:sz w:val="15"/>
                <w:szCs w:val="15"/>
              </w:rPr>
            </w:pPr>
            <w:r w:rsidRPr="00825BB7">
              <w:rPr>
                <w:rFonts w:ascii="Verdana" w:hAnsi="Verdana"/>
                <w:color w:val="000000"/>
                <w:sz w:val="15"/>
                <w:szCs w:val="15"/>
              </w:rPr>
              <w:t>The User Organization may opt to maintain a fixed deposit on account with WFP/UNHAS instead of prepayments. In this case, WFP/UNHAS will issue an invoice for the monthly costs incurred in lieu with the monthly Balance of Statement subject to the balance being positive.</w:t>
            </w:r>
          </w:p>
        </w:tc>
      </w:tr>
      <w:tr w:rsidR="00E62109" w14:paraId="2DA9E2D3" w14:textId="77777777" w:rsidTr="00EF384D">
        <w:tc>
          <w:tcPr>
            <w:tcW w:w="10170" w:type="dxa"/>
            <w:gridSpan w:val="2"/>
          </w:tcPr>
          <w:p w14:paraId="5FDC9E18" w14:textId="1F138E7F" w:rsidR="00E62109" w:rsidRPr="00825BB7" w:rsidRDefault="00825BB7" w:rsidP="00E62109">
            <w:pPr>
              <w:tabs>
                <w:tab w:val="left" w:pos="924"/>
              </w:tabs>
              <w:jc w:val="center"/>
              <w:rPr>
                <w:rFonts w:ascii="Verdana" w:hAnsi="Verdana"/>
                <w:color w:val="000000"/>
                <w:sz w:val="15"/>
                <w:szCs w:val="15"/>
              </w:rPr>
            </w:pPr>
            <w:r w:rsidRPr="00825BB7">
              <w:rPr>
                <w:rFonts w:ascii="Verdana" w:hAnsi="Verdana"/>
                <w:b/>
                <w:bCs/>
                <w:color w:val="000000"/>
                <w:sz w:val="15"/>
                <w:szCs w:val="15"/>
              </w:rPr>
              <w:t>4</w:t>
            </w:r>
            <w:r w:rsidR="00E62109" w:rsidRPr="00825BB7">
              <w:rPr>
                <w:rFonts w:ascii="Verdana" w:hAnsi="Verdana"/>
                <w:b/>
                <w:bCs/>
                <w:color w:val="000000"/>
                <w:sz w:val="15"/>
                <w:szCs w:val="15"/>
              </w:rPr>
              <w:t>. INVOICING</w:t>
            </w:r>
          </w:p>
        </w:tc>
      </w:tr>
      <w:tr w:rsidR="00E62109" w14:paraId="61621A2C" w14:textId="77777777" w:rsidTr="00EF384D">
        <w:tc>
          <w:tcPr>
            <w:tcW w:w="10170" w:type="dxa"/>
            <w:gridSpan w:val="2"/>
          </w:tcPr>
          <w:p w14:paraId="7F52DB1A" w14:textId="23C37212" w:rsidR="00E62109" w:rsidRPr="00825BB7" w:rsidRDefault="00E62109" w:rsidP="00E62109">
            <w:pPr>
              <w:tabs>
                <w:tab w:val="left" w:pos="924"/>
              </w:tabs>
              <w:rPr>
                <w:rFonts w:ascii="Verdana" w:hAnsi="Verdana"/>
                <w:color w:val="000000"/>
                <w:sz w:val="15"/>
                <w:szCs w:val="15"/>
              </w:rPr>
            </w:pPr>
            <w:r w:rsidRPr="00825BB7">
              <w:rPr>
                <w:rFonts w:ascii="Verdana" w:hAnsi="Verdana"/>
                <w:b/>
                <w:bCs/>
                <w:color w:val="000000"/>
                <w:sz w:val="15"/>
                <w:szCs w:val="15"/>
              </w:rPr>
              <w:t xml:space="preserve">4.1 </w:t>
            </w:r>
            <w:r w:rsidRPr="00825BB7">
              <w:rPr>
                <w:rFonts w:ascii="Verdana" w:hAnsi="Verdana"/>
                <w:color w:val="000000"/>
                <w:sz w:val="15"/>
                <w:szCs w:val="15"/>
              </w:rPr>
              <w:t>In the case of special individual agreements between WFP/UNHAS and the User Organization, the User Organization will be invoiced by the 15th of every month and shall arrange payment to WFP/UNHAS no later than 30 (thirty) days from receipt of invoice.</w:t>
            </w:r>
          </w:p>
          <w:p w14:paraId="7670D32B" w14:textId="286D63D9" w:rsidR="00E62109" w:rsidRPr="00825BB7" w:rsidRDefault="00E62109" w:rsidP="00E62109">
            <w:pPr>
              <w:tabs>
                <w:tab w:val="left" w:pos="924"/>
              </w:tabs>
              <w:rPr>
                <w:rFonts w:ascii="Verdana" w:hAnsi="Verdana"/>
                <w:color w:val="000000"/>
                <w:sz w:val="15"/>
                <w:szCs w:val="15"/>
              </w:rPr>
            </w:pPr>
            <w:r w:rsidRPr="00825BB7">
              <w:rPr>
                <w:rFonts w:ascii="Verdana" w:hAnsi="Verdana"/>
                <w:b/>
                <w:bCs/>
                <w:color w:val="000000"/>
                <w:sz w:val="15"/>
                <w:szCs w:val="15"/>
              </w:rPr>
              <w:t xml:space="preserve">4.2 </w:t>
            </w:r>
            <w:r w:rsidRPr="00825BB7">
              <w:rPr>
                <w:rFonts w:ascii="Verdana" w:hAnsi="Verdana"/>
                <w:color w:val="000000"/>
                <w:sz w:val="15"/>
                <w:szCs w:val="15"/>
              </w:rPr>
              <w:t>Any failure by the User Organization to honor its payment obligations stipulated herein within 30 (thirty) days from receipt of invoice may result in passengers and/or cargo being denied boarding until full settlement of any outstanding amounts.</w:t>
            </w:r>
          </w:p>
        </w:tc>
      </w:tr>
      <w:tr w:rsidR="00E62109" w14:paraId="64099D43" w14:textId="77777777" w:rsidTr="00EF384D">
        <w:tc>
          <w:tcPr>
            <w:tcW w:w="10170" w:type="dxa"/>
            <w:gridSpan w:val="2"/>
          </w:tcPr>
          <w:p w14:paraId="1D912372" w14:textId="6C262495" w:rsidR="00E62109" w:rsidRPr="00825BB7" w:rsidRDefault="00825BB7" w:rsidP="00825BB7">
            <w:pPr>
              <w:tabs>
                <w:tab w:val="left" w:pos="924"/>
              </w:tabs>
              <w:jc w:val="center"/>
              <w:rPr>
                <w:rFonts w:ascii="Verdana" w:hAnsi="Verdana"/>
                <w:b/>
                <w:bCs/>
                <w:color w:val="000000"/>
                <w:sz w:val="15"/>
                <w:szCs w:val="15"/>
              </w:rPr>
            </w:pPr>
            <w:r w:rsidRPr="00825BB7">
              <w:rPr>
                <w:rFonts w:ascii="Verdana" w:hAnsi="Verdana"/>
                <w:b/>
                <w:bCs/>
                <w:color w:val="000000"/>
                <w:sz w:val="15"/>
                <w:szCs w:val="15"/>
              </w:rPr>
              <w:t>5. LATE CANCELLATION, NO SHOWS, &amp; NON-UTILISED SPECIAL FLIGHTS</w:t>
            </w:r>
          </w:p>
        </w:tc>
      </w:tr>
      <w:tr w:rsidR="00E62109" w14:paraId="1FA37008" w14:textId="77777777" w:rsidTr="00EF384D">
        <w:tc>
          <w:tcPr>
            <w:tcW w:w="10170" w:type="dxa"/>
            <w:gridSpan w:val="2"/>
          </w:tcPr>
          <w:p w14:paraId="5FE2ECCD" w14:textId="70CEE77B" w:rsidR="00E62109"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Cancellations which are not notified to WFP/UNHAS in the conditions set forth in the Booking Procedures’ correspondent paragraph in the SAOP and “No Shows” shall be charged to the User Organization at full ticket price. When special flights have been requested but not utilized, demurrage at a minimum guaranteed hour rate of applicable 2 block hours per day will be charged to the User Organization unless cancellation is made in writing at least 24 hours prior to the flight date.</w:t>
            </w:r>
          </w:p>
        </w:tc>
      </w:tr>
      <w:tr w:rsidR="00E62109" w14:paraId="21A13E69" w14:textId="77777777" w:rsidTr="00EF384D">
        <w:tc>
          <w:tcPr>
            <w:tcW w:w="10170" w:type="dxa"/>
            <w:gridSpan w:val="2"/>
          </w:tcPr>
          <w:p w14:paraId="13543C7D" w14:textId="1948BDE3" w:rsidR="00E62109" w:rsidRPr="00825BB7" w:rsidRDefault="00825BB7" w:rsidP="00825BB7">
            <w:pPr>
              <w:tabs>
                <w:tab w:val="left" w:pos="924"/>
              </w:tabs>
              <w:jc w:val="center"/>
              <w:rPr>
                <w:rFonts w:ascii="Verdana" w:hAnsi="Verdana"/>
                <w:b/>
                <w:bCs/>
                <w:color w:val="000000"/>
                <w:sz w:val="15"/>
                <w:szCs w:val="15"/>
              </w:rPr>
            </w:pPr>
            <w:r w:rsidRPr="00825BB7">
              <w:rPr>
                <w:rFonts w:ascii="Verdana" w:hAnsi="Verdana"/>
                <w:b/>
                <w:bCs/>
                <w:color w:val="000000"/>
                <w:sz w:val="15"/>
                <w:szCs w:val="15"/>
              </w:rPr>
              <w:t>6. OPERATIONAL CONDITIONS</w:t>
            </w:r>
          </w:p>
        </w:tc>
      </w:tr>
      <w:tr w:rsidR="00E62109" w14:paraId="632FD0F7" w14:textId="77777777" w:rsidTr="00EF384D">
        <w:tc>
          <w:tcPr>
            <w:tcW w:w="10170" w:type="dxa"/>
            <w:gridSpan w:val="2"/>
          </w:tcPr>
          <w:p w14:paraId="41E4020F" w14:textId="6D6AE1EE" w:rsidR="00E62109"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Special Flights block hours for air-aborts or extended flights shall be due by the User Organization in all cases, including but not limited to unexpected changes in weather, air-safety or security conditions, at the point of departure, en-route or at destination.</w:t>
            </w:r>
          </w:p>
        </w:tc>
      </w:tr>
      <w:tr w:rsidR="00E62109" w14:paraId="410E415D" w14:textId="77777777" w:rsidTr="00EF384D">
        <w:tc>
          <w:tcPr>
            <w:tcW w:w="10170" w:type="dxa"/>
            <w:gridSpan w:val="2"/>
          </w:tcPr>
          <w:p w14:paraId="3C707390" w14:textId="70227D34" w:rsidR="00E62109" w:rsidRPr="00825BB7" w:rsidRDefault="00825BB7" w:rsidP="00825BB7">
            <w:pPr>
              <w:tabs>
                <w:tab w:val="left" w:pos="924"/>
              </w:tabs>
              <w:jc w:val="center"/>
              <w:rPr>
                <w:rFonts w:ascii="Verdana" w:hAnsi="Verdana"/>
                <w:b/>
                <w:bCs/>
                <w:color w:val="000000"/>
                <w:sz w:val="15"/>
                <w:szCs w:val="15"/>
              </w:rPr>
            </w:pPr>
            <w:r w:rsidRPr="00825BB7">
              <w:rPr>
                <w:rFonts w:ascii="Verdana" w:hAnsi="Verdana"/>
                <w:b/>
                <w:bCs/>
                <w:color w:val="000000"/>
                <w:sz w:val="15"/>
                <w:szCs w:val="15"/>
              </w:rPr>
              <w:t>7. FLIGHT COSTS AND PAYMENTS</w:t>
            </w:r>
          </w:p>
        </w:tc>
      </w:tr>
      <w:tr w:rsidR="00E62109" w14:paraId="09287FAD" w14:textId="77777777" w:rsidTr="00EF384D">
        <w:tc>
          <w:tcPr>
            <w:tcW w:w="10170" w:type="dxa"/>
            <w:gridSpan w:val="2"/>
            <w:tcBorders>
              <w:bottom w:val="single" w:sz="4" w:space="0" w:color="auto"/>
            </w:tcBorders>
          </w:tcPr>
          <w:p w14:paraId="5AEE75C2" w14:textId="7300CD0F" w:rsidR="00E62109" w:rsidRPr="00825BB7" w:rsidRDefault="00825BB7" w:rsidP="00E62109">
            <w:pPr>
              <w:tabs>
                <w:tab w:val="left" w:pos="924"/>
              </w:tabs>
              <w:rPr>
                <w:rFonts w:ascii="Verdana" w:hAnsi="Verdana"/>
                <w:i/>
                <w:iCs/>
                <w:color w:val="000000"/>
                <w:sz w:val="15"/>
                <w:szCs w:val="15"/>
              </w:rPr>
            </w:pPr>
            <w:r w:rsidRPr="00825BB7">
              <w:rPr>
                <w:rFonts w:ascii="Verdana" w:hAnsi="Verdana"/>
                <w:i/>
                <w:iCs/>
                <w:color w:val="000000"/>
                <w:sz w:val="15"/>
                <w:szCs w:val="15"/>
              </w:rPr>
              <w:t xml:space="preserve">UNHAS </w:t>
            </w:r>
            <w:r w:rsidR="00955CF0">
              <w:rPr>
                <w:rFonts w:ascii="Verdana" w:hAnsi="Verdana"/>
                <w:i/>
                <w:iCs/>
                <w:color w:val="000000"/>
                <w:sz w:val="15"/>
                <w:szCs w:val="15"/>
              </w:rPr>
              <w:t>Burkina Faso</w:t>
            </w:r>
            <w:r w:rsidRPr="00825BB7">
              <w:rPr>
                <w:rFonts w:ascii="Verdana" w:hAnsi="Verdana"/>
                <w:i/>
                <w:iCs/>
                <w:color w:val="000000"/>
                <w:sz w:val="15"/>
                <w:szCs w:val="15"/>
              </w:rPr>
              <w:t xml:space="preserve"> offers the service free of charge. However, the Steering Committee reserve the right to approve cost recovery funding modality in the future. Users will be informed prior the activation of the cost recovery service and prices for passengers and cargo will be shared among the Head of the Organizations and the respective UNHAS Focal Point. Once implemented, further description of the flight costs is going to be stated in WFP/UNHAS Standard Administrative and Operating Procedures (“SAOPs”) as referred into the Standard Terms and Conditions.</w:t>
            </w:r>
          </w:p>
        </w:tc>
      </w:tr>
      <w:tr w:rsidR="00E62109" w14:paraId="272A6803" w14:textId="77777777" w:rsidTr="00EF384D">
        <w:tc>
          <w:tcPr>
            <w:tcW w:w="10170" w:type="dxa"/>
            <w:gridSpan w:val="2"/>
            <w:shd w:val="clear" w:color="auto" w:fill="2071AC"/>
          </w:tcPr>
          <w:p w14:paraId="0D1985B0" w14:textId="32C061F2" w:rsidR="00E62109" w:rsidRPr="00825BB7" w:rsidRDefault="00825BB7" w:rsidP="00825BB7">
            <w:pPr>
              <w:tabs>
                <w:tab w:val="left" w:pos="924"/>
              </w:tabs>
              <w:jc w:val="center"/>
              <w:rPr>
                <w:rFonts w:ascii="Verdana" w:hAnsi="Verdana"/>
                <w:b/>
                <w:bCs/>
                <w:color w:val="000000"/>
                <w:sz w:val="15"/>
                <w:szCs w:val="15"/>
              </w:rPr>
            </w:pPr>
            <w:r w:rsidRPr="00825BB7">
              <w:rPr>
                <w:rFonts w:ascii="Verdana" w:hAnsi="Verdana"/>
                <w:b/>
                <w:bCs/>
                <w:color w:val="FFFFFF" w:themeColor="background1"/>
                <w:sz w:val="15"/>
                <w:szCs w:val="15"/>
              </w:rPr>
              <w:t>THE SIGNATORY WARRANTS THAT (S)HE IS AUTHORIZED TO SIGN THE PRESENT FINANCIAL CONDITIONS IN THESE TERMS</w:t>
            </w:r>
          </w:p>
        </w:tc>
      </w:tr>
      <w:tr w:rsidR="00825BB7" w14:paraId="0C8980DB" w14:textId="77777777" w:rsidTr="00EF384D">
        <w:trPr>
          <w:trHeight w:val="314"/>
        </w:trPr>
        <w:tc>
          <w:tcPr>
            <w:tcW w:w="5130" w:type="dxa"/>
          </w:tcPr>
          <w:p w14:paraId="57A5DBED" w14:textId="2CB5C574" w:rsidR="00825BB7"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SIGNED FOR AND ON BEHALF OF:</w:t>
            </w:r>
            <w:r>
              <w:rPr>
                <w:rFonts w:ascii="Verdana" w:hAnsi="Verdana"/>
                <w:color w:val="000000"/>
                <w:sz w:val="15"/>
                <w:szCs w:val="15"/>
              </w:rPr>
              <w:t xml:space="preserve"> </w:t>
            </w:r>
            <w:r w:rsidRPr="00825BB7">
              <w:rPr>
                <w:rFonts w:ascii="Verdana" w:hAnsi="Verdana"/>
                <w:b/>
                <w:bCs/>
                <w:sz w:val="15"/>
                <w:szCs w:val="15"/>
              </w:rPr>
              <w:fldChar w:fldCharType="begin">
                <w:ffData>
                  <w:name w:val="Text8"/>
                  <w:enabled/>
                  <w:calcOnExit w:val="0"/>
                  <w:textInput/>
                </w:ffData>
              </w:fldChar>
            </w:r>
            <w:r w:rsidRPr="00825BB7">
              <w:rPr>
                <w:rFonts w:ascii="Verdana" w:hAnsi="Verdana"/>
                <w:b/>
                <w:bCs/>
                <w:sz w:val="15"/>
                <w:szCs w:val="15"/>
              </w:rPr>
              <w:instrText xml:space="preserve"> FORMTEXT </w:instrText>
            </w:r>
            <w:r w:rsidRPr="00825BB7">
              <w:rPr>
                <w:rFonts w:ascii="Verdana" w:hAnsi="Verdana"/>
                <w:b/>
                <w:bCs/>
                <w:sz w:val="15"/>
                <w:szCs w:val="15"/>
              </w:rPr>
            </w:r>
            <w:r w:rsidRPr="00825BB7">
              <w:rPr>
                <w:rFonts w:ascii="Verdana" w:hAnsi="Verdana"/>
                <w:b/>
                <w:bCs/>
                <w:sz w:val="15"/>
                <w:szCs w:val="15"/>
              </w:rPr>
              <w:fldChar w:fldCharType="separate"/>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Pr="00825BB7">
              <w:rPr>
                <w:rFonts w:ascii="Verdana" w:hAnsi="Verdana"/>
                <w:b/>
                <w:bCs/>
                <w:sz w:val="15"/>
                <w:szCs w:val="15"/>
              </w:rPr>
              <w:fldChar w:fldCharType="end"/>
            </w:r>
            <w:r w:rsidR="00EF384D">
              <w:rPr>
                <w:rFonts w:ascii="Verdana" w:hAnsi="Verdana"/>
                <w:b/>
                <w:bCs/>
                <w:sz w:val="15"/>
                <w:szCs w:val="15"/>
                <w:vertAlign w:val="superscript"/>
              </w:rPr>
              <w:t>3</w:t>
            </w:r>
          </w:p>
        </w:tc>
        <w:tc>
          <w:tcPr>
            <w:tcW w:w="5040" w:type="dxa"/>
          </w:tcPr>
          <w:p w14:paraId="20E501F9" w14:textId="359ABE96" w:rsidR="00825BB7"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DATE:</w:t>
            </w:r>
            <w:r w:rsidR="00EF384D" w:rsidRPr="00825BB7">
              <w:rPr>
                <w:rFonts w:ascii="Verdana" w:hAnsi="Verdana"/>
                <w:b/>
                <w:bCs/>
                <w:sz w:val="15"/>
                <w:szCs w:val="15"/>
              </w:rPr>
              <w:t xml:space="preserve"> </w:t>
            </w:r>
            <w:r w:rsidR="00EF384D" w:rsidRPr="00825BB7">
              <w:rPr>
                <w:rFonts w:ascii="Verdana" w:hAnsi="Verdana"/>
                <w:b/>
                <w:bCs/>
                <w:sz w:val="15"/>
                <w:szCs w:val="15"/>
              </w:rPr>
              <w:fldChar w:fldCharType="begin">
                <w:ffData>
                  <w:name w:val="Text8"/>
                  <w:enabled/>
                  <w:calcOnExit w:val="0"/>
                  <w:textInput/>
                </w:ffData>
              </w:fldChar>
            </w:r>
            <w:r w:rsidR="00EF384D" w:rsidRPr="00825BB7">
              <w:rPr>
                <w:rFonts w:ascii="Verdana" w:hAnsi="Verdana"/>
                <w:b/>
                <w:bCs/>
                <w:sz w:val="15"/>
                <w:szCs w:val="15"/>
              </w:rPr>
              <w:instrText xml:space="preserve"> FORMTEXT </w:instrText>
            </w:r>
            <w:r w:rsidR="00EF384D" w:rsidRPr="00825BB7">
              <w:rPr>
                <w:rFonts w:ascii="Verdana" w:hAnsi="Verdana"/>
                <w:b/>
                <w:bCs/>
                <w:sz w:val="15"/>
                <w:szCs w:val="15"/>
              </w:rPr>
            </w:r>
            <w:r w:rsidR="00EF384D" w:rsidRPr="00825BB7">
              <w:rPr>
                <w:rFonts w:ascii="Verdana" w:hAnsi="Verdana"/>
                <w:b/>
                <w:bCs/>
                <w:sz w:val="15"/>
                <w:szCs w:val="15"/>
              </w:rPr>
              <w:fldChar w:fldCharType="separate"/>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EF384D" w:rsidRPr="00825BB7">
              <w:rPr>
                <w:rFonts w:ascii="Verdana" w:hAnsi="Verdana"/>
                <w:b/>
                <w:bCs/>
                <w:sz w:val="15"/>
                <w:szCs w:val="15"/>
              </w:rPr>
              <w:fldChar w:fldCharType="end"/>
            </w:r>
            <w:r w:rsidR="00EF384D">
              <w:rPr>
                <w:rFonts w:ascii="Verdana" w:hAnsi="Verdana"/>
                <w:b/>
                <w:bCs/>
                <w:sz w:val="15"/>
                <w:szCs w:val="15"/>
                <w:vertAlign w:val="superscript"/>
              </w:rPr>
              <w:t>4</w:t>
            </w:r>
          </w:p>
        </w:tc>
      </w:tr>
      <w:tr w:rsidR="00825BB7" w14:paraId="18BF50F4" w14:textId="77777777" w:rsidTr="00EF384D">
        <w:trPr>
          <w:trHeight w:val="341"/>
        </w:trPr>
        <w:tc>
          <w:tcPr>
            <w:tcW w:w="5130" w:type="dxa"/>
          </w:tcPr>
          <w:p w14:paraId="430259BD" w14:textId="4BED0365" w:rsidR="00825BB7"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NAME:</w:t>
            </w:r>
            <w:r w:rsidR="00EF384D" w:rsidRPr="00825BB7">
              <w:rPr>
                <w:rFonts w:ascii="Verdana" w:hAnsi="Verdana"/>
                <w:b/>
                <w:bCs/>
                <w:sz w:val="15"/>
                <w:szCs w:val="15"/>
              </w:rPr>
              <w:t xml:space="preserve"> </w:t>
            </w:r>
            <w:r w:rsidR="00EF384D" w:rsidRPr="00825BB7">
              <w:rPr>
                <w:rFonts w:ascii="Verdana" w:hAnsi="Verdana"/>
                <w:b/>
                <w:bCs/>
                <w:sz w:val="15"/>
                <w:szCs w:val="15"/>
              </w:rPr>
              <w:fldChar w:fldCharType="begin">
                <w:ffData>
                  <w:name w:val="Text8"/>
                  <w:enabled/>
                  <w:calcOnExit w:val="0"/>
                  <w:textInput/>
                </w:ffData>
              </w:fldChar>
            </w:r>
            <w:r w:rsidR="00EF384D" w:rsidRPr="00825BB7">
              <w:rPr>
                <w:rFonts w:ascii="Verdana" w:hAnsi="Verdana"/>
                <w:b/>
                <w:bCs/>
                <w:sz w:val="15"/>
                <w:szCs w:val="15"/>
              </w:rPr>
              <w:instrText xml:space="preserve"> FORMTEXT </w:instrText>
            </w:r>
            <w:r w:rsidR="00EF384D" w:rsidRPr="00825BB7">
              <w:rPr>
                <w:rFonts w:ascii="Verdana" w:hAnsi="Verdana"/>
                <w:b/>
                <w:bCs/>
                <w:sz w:val="15"/>
                <w:szCs w:val="15"/>
              </w:rPr>
            </w:r>
            <w:r w:rsidR="00EF384D" w:rsidRPr="00825BB7">
              <w:rPr>
                <w:rFonts w:ascii="Verdana" w:hAnsi="Verdana"/>
                <w:b/>
                <w:bCs/>
                <w:sz w:val="15"/>
                <w:szCs w:val="15"/>
              </w:rPr>
              <w:fldChar w:fldCharType="separate"/>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EF384D" w:rsidRPr="00825BB7">
              <w:rPr>
                <w:rFonts w:ascii="Verdana" w:hAnsi="Verdana"/>
                <w:b/>
                <w:bCs/>
                <w:sz w:val="15"/>
                <w:szCs w:val="15"/>
              </w:rPr>
              <w:fldChar w:fldCharType="end"/>
            </w:r>
            <w:r w:rsidR="00EF384D">
              <w:rPr>
                <w:rFonts w:ascii="Verdana" w:hAnsi="Verdana"/>
                <w:b/>
                <w:bCs/>
                <w:sz w:val="15"/>
                <w:szCs w:val="15"/>
                <w:vertAlign w:val="superscript"/>
              </w:rPr>
              <w:t>5</w:t>
            </w:r>
          </w:p>
        </w:tc>
        <w:tc>
          <w:tcPr>
            <w:tcW w:w="5040" w:type="dxa"/>
          </w:tcPr>
          <w:p w14:paraId="12210B68" w14:textId="499FF374" w:rsidR="00825BB7"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SIGNATURE:</w:t>
            </w:r>
          </w:p>
        </w:tc>
      </w:tr>
      <w:tr w:rsidR="00E62109" w14:paraId="2782FE03" w14:textId="77777777" w:rsidTr="00EF384D">
        <w:trPr>
          <w:trHeight w:val="440"/>
        </w:trPr>
        <w:tc>
          <w:tcPr>
            <w:tcW w:w="10170" w:type="dxa"/>
            <w:gridSpan w:val="2"/>
          </w:tcPr>
          <w:p w14:paraId="7E914EA5" w14:textId="730782CC" w:rsidR="00E62109" w:rsidRPr="00825BB7" w:rsidRDefault="00825BB7" w:rsidP="00E62109">
            <w:pPr>
              <w:tabs>
                <w:tab w:val="left" w:pos="924"/>
              </w:tabs>
              <w:rPr>
                <w:rFonts w:ascii="Verdana" w:hAnsi="Verdana"/>
                <w:color w:val="000000"/>
                <w:sz w:val="15"/>
                <w:szCs w:val="15"/>
              </w:rPr>
            </w:pPr>
            <w:r w:rsidRPr="00825BB7">
              <w:rPr>
                <w:rFonts w:ascii="Verdana" w:hAnsi="Verdana"/>
                <w:color w:val="000000"/>
                <w:sz w:val="15"/>
                <w:szCs w:val="15"/>
              </w:rPr>
              <w:t>POSITION WITHIN ORGANIZATION:</w:t>
            </w:r>
            <w:r w:rsidR="00EF384D" w:rsidRPr="00825BB7">
              <w:rPr>
                <w:rFonts w:ascii="Verdana" w:hAnsi="Verdana"/>
                <w:b/>
                <w:bCs/>
                <w:sz w:val="15"/>
                <w:szCs w:val="15"/>
              </w:rPr>
              <w:t xml:space="preserve"> </w:t>
            </w:r>
            <w:r w:rsidR="00EF384D" w:rsidRPr="00825BB7">
              <w:rPr>
                <w:rFonts w:ascii="Verdana" w:hAnsi="Verdana"/>
                <w:b/>
                <w:bCs/>
                <w:sz w:val="15"/>
                <w:szCs w:val="15"/>
              </w:rPr>
              <w:fldChar w:fldCharType="begin">
                <w:ffData>
                  <w:name w:val="Text8"/>
                  <w:enabled/>
                  <w:calcOnExit w:val="0"/>
                  <w:textInput/>
                </w:ffData>
              </w:fldChar>
            </w:r>
            <w:r w:rsidR="00EF384D" w:rsidRPr="00825BB7">
              <w:rPr>
                <w:rFonts w:ascii="Verdana" w:hAnsi="Verdana"/>
                <w:b/>
                <w:bCs/>
                <w:sz w:val="15"/>
                <w:szCs w:val="15"/>
              </w:rPr>
              <w:instrText xml:space="preserve"> FORMTEXT </w:instrText>
            </w:r>
            <w:r w:rsidR="00EF384D" w:rsidRPr="00825BB7">
              <w:rPr>
                <w:rFonts w:ascii="Verdana" w:hAnsi="Verdana"/>
                <w:b/>
                <w:bCs/>
                <w:sz w:val="15"/>
                <w:szCs w:val="15"/>
              </w:rPr>
            </w:r>
            <w:r w:rsidR="00EF384D" w:rsidRPr="00825BB7">
              <w:rPr>
                <w:rFonts w:ascii="Verdana" w:hAnsi="Verdana"/>
                <w:b/>
                <w:bCs/>
                <w:sz w:val="15"/>
                <w:szCs w:val="15"/>
              </w:rPr>
              <w:fldChar w:fldCharType="separate"/>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B35A9F">
              <w:rPr>
                <w:rFonts w:ascii="Verdana" w:hAnsi="Verdana"/>
                <w:b/>
                <w:bCs/>
                <w:noProof/>
                <w:sz w:val="15"/>
                <w:szCs w:val="15"/>
              </w:rPr>
              <w:t> </w:t>
            </w:r>
            <w:r w:rsidR="00EF384D" w:rsidRPr="00825BB7">
              <w:rPr>
                <w:rFonts w:ascii="Verdana" w:hAnsi="Verdana"/>
                <w:b/>
                <w:bCs/>
                <w:sz w:val="15"/>
                <w:szCs w:val="15"/>
              </w:rPr>
              <w:fldChar w:fldCharType="end"/>
            </w:r>
            <w:r w:rsidR="00EF384D">
              <w:rPr>
                <w:rFonts w:ascii="Verdana" w:hAnsi="Verdana"/>
                <w:b/>
                <w:bCs/>
                <w:sz w:val="15"/>
                <w:szCs w:val="15"/>
                <w:vertAlign w:val="superscript"/>
              </w:rPr>
              <w:t>6</w:t>
            </w:r>
          </w:p>
        </w:tc>
      </w:tr>
    </w:tbl>
    <w:p w14:paraId="4A27F93F" w14:textId="51E1C21C" w:rsidR="00E62109" w:rsidRPr="00E62109" w:rsidRDefault="00E62109" w:rsidP="00E62109">
      <w:pPr>
        <w:tabs>
          <w:tab w:val="left" w:pos="924"/>
        </w:tabs>
        <w:rPr>
          <w:rFonts w:ascii="Verdana" w:hAnsi="Verdana"/>
          <w:color w:val="000000"/>
        </w:rPr>
      </w:pPr>
    </w:p>
    <w:sectPr w:rsidR="00E62109" w:rsidRPr="00E62109" w:rsidSect="00ED14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CFCA" w14:textId="77777777" w:rsidR="00E647C6" w:rsidRDefault="00E647C6" w:rsidP="00E62109">
      <w:r>
        <w:separator/>
      </w:r>
    </w:p>
  </w:endnote>
  <w:endnote w:type="continuationSeparator" w:id="0">
    <w:p w14:paraId="5B9C6CE6" w14:textId="77777777" w:rsidR="00E647C6" w:rsidRDefault="00E647C6" w:rsidP="00E6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B2E0A" w14:textId="77777777" w:rsidR="00EF384D" w:rsidRDefault="00EF384D"/>
  <w:tbl>
    <w:tblPr>
      <w:tblStyle w:val="TableGrid"/>
      <w:tblW w:w="0" w:type="auto"/>
      <w:tblLook w:val="04A0" w:firstRow="1" w:lastRow="0" w:firstColumn="1" w:lastColumn="0" w:noHBand="0" w:noVBand="1"/>
    </w:tblPr>
    <w:tblGrid>
      <w:gridCol w:w="2340"/>
      <w:gridCol w:w="7010"/>
    </w:tblGrid>
    <w:tr w:rsidR="00EF384D" w:rsidRPr="00EF384D" w14:paraId="3DA3C83B" w14:textId="77777777" w:rsidTr="00EF384D">
      <w:tc>
        <w:tcPr>
          <w:tcW w:w="2340" w:type="dxa"/>
          <w:tcBorders>
            <w:top w:val="nil"/>
            <w:left w:val="nil"/>
            <w:bottom w:val="nil"/>
            <w:right w:val="nil"/>
          </w:tcBorders>
        </w:tcPr>
        <w:p w14:paraId="4D234668" w14:textId="55326F62" w:rsidR="00EF384D" w:rsidRPr="00EF384D" w:rsidRDefault="00EF384D" w:rsidP="00EF384D">
          <w:pPr>
            <w:pStyle w:val="Footer"/>
            <w:rPr>
              <w:rFonts w:ascii="Verdana" w:hAnsi="Verdana"/>
              <w:color w:val="767171" w:themeColor="background2" w:themeShade="80"/>
              <w:sz w:val="15"/>
              <w:szCs w:val="15"/>
            </w:rPr>
          </w:pPr>
          <w:r w:rsidRPr="00EF384D">
            <w:rPr>
              <w:rFonts w:ascii="Verdana" w:hAnsi="Verdana"/>
              <w:b/>
              <w:bCs/>
              <w:color w:val="767171" w:themeColor="background2" w:themeShade="80"/>
              <w:sz w:val="15"/>
              <w:szCs w:val="15"/>
              <w:vertAlign w:val="superscript"/>
            </w:rPr>
            <w:t>1</w:t>
          </w:r>
          <w:r w:rsidRPr="00EF384D">
            <w:rPr>
              <w:rFonts w:ascii="Verdana" w:hAnsi="Verdana"/>
              <w:color w:val="767171" w:themeColor="background2" w:themeShade="80"/>
              <w:sz w:val="15"/>
              <w:szCs w:val="15"/>
            </w:rPr>
            <w:t>Name of the organization</w:t>
          </w:r>
        </w:p>
        <w:p w14:paraId="5D50E8B5" w14:textId="77777777" w:rsidR="00EF384D" w:rsidRPr="00EF384D" w:rsidRDefault="00EF384D" w:rsidP="00EF384D">
          <w:pPr>
            <w:pStyle w:val="Footer"/>
            <w:rPr>
              <w:color w:val="767171" w:themeColor="background2" w:themeShade="80"/>
            </w:rPr>
          </w:pPr>
          <w:r w:rsidRPr="00EF384D">
            <w:rPr>
              <w:rFonts w:ascii="Verdana" w:hAnsi="Verdana"/>
              <w:b/>
              <w:bCs/>
              <w:color w:val="767171" w:themeColor="background2" w:themeShade="80"/>
              <w:sz w:val="15"/>
              <w:szCs w:val="15"/>
              <w:vertAlign w:val="superscript"/>
            </w:rPr>
            <w:t>3</w:t>
          </w:r>
          <w:r w:rsidRPr="00EF384D">
            <w:rPr>
              <w:rFonts w:ascii="Verdana" w:hAnsi="Verdana"/>
              <w:color w:val="767171" w:themeColor="background2" w:themeShade="80"/>
              <w:sz w:val="15"/>
              <w:szCs w:val="15"/>
            </w:rPr>
            <w:t>Name of the organization</w:t>
          </w:r>
        </w:p>
        <w:p w14:paraId="30217748" w14:textId="45D20714" w:rsidR="00EF384D" w:rsidRPr="00EF384D" w:rsidRDefault="00EF384D" w:rsidP="00EF384D">
          <w:pPr>
            <w:pStyle w:val="Footer"/>
            <w:rPr>
              <w:rFonts w:ascii="Verdana" w:hAnsi="Verdana"/>
              <w:color w:val="767171" w:themeColor="background2" w:themeShade="80"/>
              <w:sz w:val="15"/>
              <w:szCs w:val="15"/>
            </w:rPr>
          </w:pPr>
          <w:r w:rsidRPr="00EF384D">
            <w:rPr>
              <w:rFonts w:ascii="Verdana" w:hAnsi="Verdana"/>
              <w:b/>
              <w:bCs/>
              <w:color w:val="767171" w:themeColor="background2" w:themeShade="80"/>
              <w:sz w:val="15"/>
              <w:szCs w:val="15"/>
              <w:vertAlign w:val="superscript"/>
            </w:rPr>
            <w:t>5</w:t>
          </w:r>
          <w:r w:rsidRPr="00EF384D">
            <w:rPr>
              <w:rFonts w:ascii="Verdana" w:hAnsi="Verdana"/>
              <w:color w:val="767171" w:themeColor="background2" w:themeShade="80"/>
              <w:sz w:val="15"/>
              <w:szCs w:val="15"/>
            </w:rPr>
            <w:t>Name and surname</w:t>
          </w:r>
        </w:p>
      </w:tc>
      <w:tc>
        <w:tcPr>
          <w:tcW w:w="7010" w:type="dxa"/>
          <w:tcBorders>
            <w:top w:val="nil"/>
            <w:left w:val="nil"/>
            <w:bottom w:val="nil"/>
            <w:right w:val="nil"/>
          </w:tcBorders>
        </w:tcPr>
        <w:p w14:paraId="523DAE07" w14:textId="69CE6AAC" w:rsidR="00EF384D" w:rsidRPr="00EF384D" w:rsidRDefault="00EF384D" w:rsidP="00EF384D">
          <w:pPr>
            <w:pStyle w:val="Footer"/>
            <w:rPr>
              <w:rFonts w:ascii="Verdana" w:hAnsi="Verdana"/>
              <w:color w:val="767171" w:themeColor="background2" w:themeShade="80"/>
              <w:sz w:val="15"/>
              <w:szCs w:val="15"/>
            </w:rPr>
          </w:pPr>
          <w:r w:rsidRPr="00EF384D">
            <w:rPr>
              <w:rFonts w:ascii="Verdana" w:hAnsi="Verdana"/>
              <w:b/>
              <w:bCs/>
              <w:color w:val="767171" w:themeColor="background2" w:themeShade="80"/>
              <w:sz w:val="15"/>
              <w:szCs w:val="15"/>
              <w:vertAlign w:val="superscript"/>
            </w:rPr>
            <w:t>2</w:t>
          </w:r>
          <w:r w:rsidRPr="00EF384D">
            <w:rPr>
              <w:rFonts w:ascii="Verdana" w:hAnsi="Verdana"/>
              <w:color w:val="767171" w:themeColor="background2" w:themeShade="80"/>
              <w:sz w:val="15"/>
              <w:szCs w:val="15"/>
            </w:rPr>
            <w:t>Country where the organization operates</w:t>
          </w:r>
        </w:p>
        <w:p w14:paraId="234A2347" w14:textId="535E06C2" w:rsidR="00EF384D" w:rsidRPr="00EF384D" w:rsidRDefault="00EF384D" w:rsidP="00EF384D">
          <w:pPr>
            <w:pStyle w:val="Footer"/>
            <w:rPr>
              <w:color w:val="767171" w:themeColor="background2" w:themeShade="80"/>
            </w:rPr>
          </w:pPr>
          <w:r w:rsidRPr="00EF384D">
            <w:rPr>
              <w:rFonts w:ascii="Verdana" w:hAnsi="Verdana"/>
              <w:b/>
              <w:bCs/>
              <w:color w:val="767171" w:themeColor="background2" w:themeShade="80"/>
              <w:sz w:val="15"/>
              <w:szCs w:val="15"/>
              <w:vertAlign w:val="superscript"/>
            </w:rPr>
            <w:t>4</w:t>
          </w:r>
          <w:r w:rsidRPr="00EF384D">
            <w:rPr>
              <w:rFonts w:ascii="Verdana" w:hAnsi="Verdana"/>
              <w:color w:val="767171" w:themeColor="background2" w:themeShade="80"/>
              <w:sz w:val="15"/>
              <w:szCs w:val="15"/>
            </w:rPr>
            <w:t>Date</w:t>
          </w:r>
        </w:p>
        <w:p w14:paraId="0EE9E285" w14:textId="2566751E" w:rsidR="00EF384D" w:rsidRPr="00EF384D" w:rsidRDefault="00EF384D">
          <w:pPr>
            <w:pStyle w:val="Footer"/>
            <w:rPr>
              <w:rFonts w:ascii="Verdana" w:hAnsi="Verdana"/>
              <w:color w:val="767171" w:themeColor="background2" w:themeShade="80"/>
              <w:sz w:val="15"/>
              <w:szCs w:val="15"/>
            </w:rPr>
          </w:pPr>
          <w:r w:rsidRPr="00EF384D">
            <w:rPr>
              <w:rFonts w:ascii="Verdana" w:hAnsi="Verdana"/>
              <w:b/>
              <w:bCs/>
              <w:color w:val="767171" w:themeColor="background2" w:themeShade="80"/>
              <w:sz w:val="15"/>
              <w:szCs w:val="15"/>
              <w:vertAlign w:val="superscript"/>
            </w:rPr>
            <w:t>6</w:t>
          </w:r>
          <w:r w:rsidRPr="00EF384D">
            <w:rPr>
              <w:rFonts w:ascii="Verdana" w:hAnsi="Verdana"/>
              <w:color w:val="767171" w:themeColor="background2" w:themeShade="80"/>
              <w:sz w:val="15"/>
              <w:szCs w:val="15"/>
            </w:rPr>
            <w:t>Job Title</w:t>
          </w:r>
        </w:p>
      </w:tc>
    </w:tr>
  </w:tbl>
  <w:p w14:paraId="13E50BC7" w14:textId="77777777" w:rsidR="00EF384D" w:rsidRDefault="00EF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275FB" w14:textId="77777777" w:rsidR="00E647C6" w:rsidRDefault="00E647C6" w:rsidP="00E62109">
      <w:r>
        <w:separator/>
      </w:r>
    </w:p>
  </w:footnote>
  <w:footnote w:type="continuationSeparator" w:id="0">
    <w:p w14:paraId="6928DB2C" w14:textId="77777777" w:rsidR="00E647C6" w:rsidRDefault="00E647C6" w:rsidP="00E6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719F" w14:textId="5B0AAFDD" w:rsidR="00E62109" w:rsidRDefault="00E62109">
    <w:pPr>
      <w:pStyle w:val="Header"/>
    </w:pPr>
    <w:r>
      <w:rPr>
        <w:rFonts w:ascii="Times New Roman"/>
        <w:noProof/>
        <w:sz w:val="20"/>
        <w:lang w:val="en-GB" w:eastAsia="en-GB"/>
      </w:rPr>
      <w:drawing>
        <wp:inline distT="0" distB="0" distL="0" distR="0" wp14:anchorId="440995EA" wp14:editId="3EC909AD">
          <wp:extent cx="1793346" cy="81663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NHAS_standard_blue.jpg"/>
                  <pic:cNvPicPr/>
                </pic:nvPicPr>
                <pic:blipFill>
                  <a:blip r:embed="rId1">
                    <a:extLst>
                      <a:ext uri="{28A0092B-C50C-407E-A947-70E740481C1C}">
                        <a14:useLocalDpi xmlns:a14="http://schemas.microsoft.com/office/drawing/2010/main" val="0"/>
                      </a:ext>
                    </a:extLst>
                  </a:blip>
                  <a:stretch>
                    <a:fillRect/>
                  </a:stretch>
                </pic:blipFill>
                <pic:spPr>
                  <a:xfrm>
                    <a:off x="0" y="0"/>
                    <a:ext cx="1831828" cy="834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A14"/>
    <w:multiLevelType w:val="hybridMultilevel"/>
    <w:tmpl w:val="7B748CEA"/>
    <w:lvl w:ilvl="0" w:tplc="59B047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07448"/>
    <w:multiLevelType w:val="hybridMultilevel"/>
    <w:tmpl w:val="6B1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444E4"/>
    <w:multiLevelType w:val="hybridMultilevel"/>
    <w:tmpl w:val="7B66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40D65"/>
    <w:multiLevelType w:val="hybridMultilevel"/>
    <w:tmpl w:val="3DF4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5212A"/>
    <w:multiLevelType w:val="hybridMultilevel"/>
    <w:tmpl w:val="0A56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65FD8"/>
    <w:multiLevelType w:val="hybridMultilevel"/>
    <w:tmpl w:val="4B0C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09"/>
    <w:rsid w:val="000452CB"/>
    <w:rsid w:val="001B7738"/>
    <w:rsid w:val="001C354D"/>
    <w:rsid w:val="002019C2"/>
    <w:rsid w:val="00257233"/>
    <w:rsid w:val="0028270C"/>
    <w:rsid w:val="002D1AB4"/>
    <w:rsid w:val="0035237E"/>
    <w:rsid w:val="003C7E53"/>
    <w:rsid w:val="004824A1"/>
    <w:rsid w:val="004F37DA"/>
    <w:rsid w:val="006108C3"/>
    <w:rsid w:val="007B0396"/>
    <w:rsid w:val="00825BB7"/>
    <w:rsid w:val="008F5908"/>
    <w:rsid w:val="009036EB"/>
    <w:rsid w:val="00924171"/>
    <w:rsid w:val="00955CF0"/>
    <w:rsid w:val="00AE0EDF"/>
    <w:rsid w:val="00B155CC"/>
    <w:rsid w:val="00B35A9F"/>
    <w:rsid w:val="00BD45C1"/>
    <w:rsid w:val="00D81172"/>
    <w:rsid w:val="00D93FA2"/>
    <w:rsid w:val="00DF0D2F"/>
    <w:rsid w:val="00E62109"/>
    <w:rsid w:val="00E647C6"/>
    <w:rsid w:val="00ED141E"/>
    <w:rsid w:val="00EF384D"/>
    <w:rsid w:val="00FC1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AD362"/>
  <w15:chartTrackingRefBased/>
  <w15:docId w15:val="{3171622A-D342-9445-A680-B003AC2A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109"/>
    <w:pPr>
      <w:tabs>
        <w:tab w:val="center" w:pos="4680"/>
        <w:tab w:val="right" w:pos="9360"/>
      </w:tabs>
    </w:pPr>
  </w:style>
  <w:style w:type="character" w:customStyle="1" w:styleId="HeaderChar">
    <w:name w:val="Header Char"/>
    <w:basedOn w:val="DefaultParagraphFont"/>
    <w:link w:val="Header"/>
    <w:uiPriority w:val="99"/>
    <w:rsid w:val="00E62109"/>
  </w:style>
  <w:style w:type="paragraph" w:styleId="Footer">
    <w:name w:val="footer"/>
    <w:basedOn w:val="Normal"/>
    <w:link w:val="FooterChar"/>
    <w:uiPriority w:val="99"/>
    <w:unhideWhenUsed/>
    <w:rsid w:val="00E62109"/>
    <w:pPr>
      <w:tabs>
        <w:tab w:val="center" w:pos="4680"/>
        <w:tab w:val="right" w:pos="9360"/>
      </w:tabs>
    </w:pPr>
  </w:style>
  <w:style w:type="character" w:customStyle="1" w:styleId="FooterChar">
    <w:name w:val="Footer Char"/>
    <w:basedOn w:val="DefaultParagraphFont"/>
    <w:link w:val="Footer"/>
    <w:uiPriority w:val="99"/>
    <w:rsid w:val="00E62109"/>
  </w:style>
  <w:style w:type="table" w:styleId="TableGrid">
    <w:name w:val="Table Grid"/>
    <w:basedOn w:val="TableNormal"/>
    <w:uiPriority w:val="39"/>
    <w:rsid w:val="00E62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Celestinjules BARDE</cp:lastModifiedBy>
  <cp:revision>5</cp:revision>
  <cp:lastPrinted>2019-11-10T17:08:00Z</cp:lastPrinted>
  <dcterms:created xsi:type="dcterms:W3CDTF">2020-09-22T16:31:00Z</dcterms:created>
  <dcterms:modified xsi:type="dcterms:W3CDTF">2020-11-04T11:09:00Z</dcterms:modified>
  <cp:contentStatus/>
</cp:coreProperties>
</file>